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1925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81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участии лица, привлекаемого к административной ответственности Сафиуллина Р.Т.,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Сафиуллина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гражданина Российской Федерации, работающего, зарегистрированного по адресу: ХМАО – 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 –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по ст. 6.9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39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00:01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проживания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5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Сафиуллин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Р.Т.</w:t>
      </w:r>
      <w:r>
        <w:rPr>
          <w:rFonts w:ascii="Times New Roman" w:eastAsia="Times New Roman" w:hAnsi="Times New Roman" w:cs="Times New Roman"/>
          <w:sz w:val="26"/>
          <w:szCs w:val="26"/>
        </w:rPr>
        <w:t>, на котор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постановлением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213-2301/2024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возложена обязанность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тридцати дней с момента вступления постановления в законную силу обратиться в 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Ханты-Мансийский автономный округ 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Парковая улица, 32 корпус 5 или по адресу Ханты-Мансийский автономный округ 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Садовая ул., 3, для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диагностики, а при наличии медицинских показаний, лечения наркологического заболев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ания и медицинской реабилитации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 6.9.1 КоАП РФ, не выполнив установленную обязанность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Сафиуллин Р.Т. в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выразил раскаяние.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ОКОН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майора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7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-сообщением начальника ОКОН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майора полиции Семенова С.М. </w:t>
      </w:r>
      <w:r>
        <w:rPr>
          <w:rFonts w:ascii="Times New Roman" w:eastAsia="Times New Roman" w:hAnsi="Times New Roman" w:cs="Times New Roman"/>
          <w:sz w:val="26"/>
          <w:szCs w:val="26"/>
        </w:rPr>
        <w:t>главному врачу БУ «Покачевская городская больница»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-сообщение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врача БУ ХМАО – Югры «Покачевская городская больница» Мананковой Л.Н. от </w:t>
      </w:r>
      <w:r>
        <w:rPr>
          <w:rFonts w:ascii="Times New Roman" w:eastAsia="Times New Roman" w:hAnsi="Times New Roman" w:cs="Times New Roman"/>
          <w:sz w:val="26"/>
          <w:szCs w:val="26"/>
        </w:rPr>
        <w:t>2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 начальника ОКОН МОМВД России «Нижневартовский» майора полиции Семенова С.М. главному врачу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-сообщением главно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врач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Горбачевой И.В. от 3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гр-на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8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№ 5-213-2301/2024 от 12 марта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признан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6.9 КоАП РФ, и подвергнут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 с возложением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пройти диагностику, профилактические мероприятия, лечение от наркомании и (или) медико-социальную реабилитацию по месту жительства в течении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 марта 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Также, в судебном заседании исследованы рапорт-характеристика на имя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справка на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Сафиуллина Р.Т.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протокол о задержании лица от 8 мая 2024 года, протокол о доставлении лица от 8 мая 2024 года,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 6.9.1 Кодекса Российской Федерации об административных правонарушениях предусматривает административную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w:anchor="sub_690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примечанием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примечанию к ст. 6.9.1 Кодекса РФ об административных правонарушениях,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6.9.1 Кодекса РФ об административных правонарушениях, материалами дела доказана.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4.2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 раскаяние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ответственность, в соответствии со ст. 4.3 Кодекса РФ об административных правонарушениях мировой судья относит повторное совершение однородного правонарушения в течение года.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смягчающих административную ответственность, обстоятельств,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Сафиуллин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штрафа в пределах санкции ст. 6.9.1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ст. 29.9-29.11 КоАП РФ, мировой судья,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Сафиуллина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Тагировича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 (четыре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0412365400235004022406174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72011601063010009140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0412365400235004022406174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код бюджетной классификации (72011601063010009140);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11.06.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административного штрафа (4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районный суд ХМАО-Югры в течение 10 суток.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402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2301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______________________Н.В.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5rplc-24">
    <w:name w:val="cat-Address grp-5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